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附1</w:t>
      </w:r>
    </w:p>
    <w:p>
      <w:pPr>
        <w:snapToGrid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/>
          <w:bCs w:val="0"/>
          <w:sz w:val="32"/>
          <w:szCs w:val="32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/>
          <w:bCs w:val="0"/>
          <w:sz w:val="32"/>
          <w:szCs w:val="32"/>
        </w:rPr>
        <w:fldChar w:fldCharType="begin"/>
      </w:r>
      <w:r>
        <w:rPr>
          <w:rFonts w:hint="eastAsia" w:ascii="方正小标宋简体" w:hAnsi="方正小标宋简体" w:eastAsia="方正小标宋简体" w:cs="方正小标宋简体"/>
          <w:b/>
          <w:bCs w:val="0"/>
          <w:sz w:val="32"/>
          <w:szCs w:val="32"/>
        </w:rPr>
        <w:instrText xml:space="preserve">HYPERLINK "http://files2.mca.gov.cn/zyzx/201610/20161014170854266.doc"</w:instrText>
      </w:r>
      <w:r>
        <w:rPr>
          <w:rFonts w:hint="eastAsia" w:ascii="方正小标宋简体" w:hAnsi="方正小标宋简体" w:eastAsia="方正小标宋简体" w:cs="方正小标宋简体"/>
          <w:b/>
          <w:bCs w:val="0"/>
          <w:sz w:val="32"/>
          <w:szCs w:val="32"/>
        </w:rPr>
        <w:fldChar w:fldCharType="separate"/>
      </w:r>
      <w:r>
        <w:rPr>
          <w:rFonts w:hint="eastAsia" w:ascii="方正小标宋简体" w:hAnsi="方正小标宋简体" w:eastAsia="方正小标宋简体" w:cs="方正小标宋简体"/>
          <w:b/>
          <w:bCs w:val="0"/>
          <w:sz w:val="32"/>
          <w:szCs w:val="32"/>
        </w:rPr>
        <w:t>20</w:t>
      </w:r>
      <w:r>
        <w:rPr>
          <w:rFonts w:hint="eastAsia" w:ascii="方正小标宋简体" w:hAnsi="方正小标宋简体" w:eastAsia="方正小标宋简体" w:cs="方正小标宋简体"/>
          <w:b/>
          <w:bCs w:val="0"/>
          <w:sz w:val="32"/>
          <w:szCs w:val="32"/>
          <w:lang w:val="en-US" w:eastAsia="zh-CN"/>
        </w:rPr>
        <w:t>20</w:t>
      </w:r>
      <w:r>
        <w:rPr>
          <w:rFonts w:hint="eastAsia" w:ascii="方正小标宋简体" w:hAnsi="方正小标宋简体" w:eastAsia="方正小标宋简体" w:cs="方正小标宋简体"/>
          <w:b/>
          <w:bCs w:val="0"/>
          <w:sz w:val="32"/>
          <w:szCs w:val="32"/>
        </w:rPr>
        <w:t>年民政政策理论研究</w:t>
      </w:r>
      <w:r>
        <w:rPr>
          <w:rFonts w:hint="eastAsia" w:ascii="方正小标宋简体" w:hAnsi="方正小标宋简体" w:eastAsia="方正小标宋简体" w:cs="方正小标宋简体"/>
          <w:b/>
          <w:bCs w:val="0"/>
          <w:sz w:val="32"/>
          <w:szCs w:val="32"/>
        </w:rPr>
        <w:fldChar w:fldCharType="end"/>
      </w:r>
      <w:r>
        <w:rPr>
          <w:rFonts w:hint="eastAsia" w:ascii="方正小标宋简体" w:hAnsi="方正小标宋简体" w:eastAsia="方正小标宋简体" w:cs="方正小标宋简体"/>
          <w:b/>
          <w:bCs w:val="0"/>
          <w:sz w:val="32"/>
          <w:szCs w:val="32"/>
        </w:rPr>
        <w:t>选题</w:t>
      </w:r>
    </w:p>
    <w:bookmarkEnd w:id="0"/>
    <w:p>
      <w:pPr>
        <w:jc w:val="both"/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1.民政服务改革发展稳定大局研究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2.民政工作政治属性研究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3.民政在社会建设中的兜底性基础性作用研究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4.民政与基本民生保障研究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5.全面建成小康社会背景下民政兜底保障研究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6.中国特色儿童福利与保障制度研究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0"/>
          <w:szCs w:val="30"/>
          <w:lang w:val="en-US" w:eastAsia="zh-CN"/>
        </w:rPr>
        <w:t>7.</w:t>
      </w: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流浪遇困人员救助管理公共服务体系建设研究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8.残疾人监护制度研究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9.中国特色慈善事业发展研究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10.福利彩票高质量发展研究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11.民政与基层社会治理研究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12.社区治理体制机制创新研究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13.社区服务供给机制创新和智慧社区建设研究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14.中国特色社会组织发展研究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15.新时代社会工作作用研究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16.民政工作与志愿服务研究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17.优化行政区划设置和结构体系研究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18.民政与基本社会服务研究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19.养老服务中的政府作用和市场机制研究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20.大城市养老服务体系建设研究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21.地名规范化管理研究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22.新时代婚俗改革研究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23.深化殡葬制度和礼俗改革研究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24.民政风险防控研究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25.新时代民政工作法律体系研究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26.新时代民政改革创新路径方法研究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27.民政标准化规范化研究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28.基层民政服务能力建设研究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0"/>
          <w:szCs w:val="30"/>
          <w:lang w:val="en-US" w:eastAsia="zh-CN"/>
        </w:rPr>
        <w:t>29.“互联网+民政服务”研究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宋体-方正超大字符集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宋体-方正超大字符集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436AFE"/>
    <w:rsid w:val="1A43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2019-10-23T03:30:00Z</dcterms:created>
  <dc:creator>lenovo</dc:creator>
  <cp:lastModifiedBy>lenovo</cp:lastModifiedBy>
  <dcterms:modified xsi:type="dcterms:W3CDTF">2019-10-23T03:33:05Z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2052-11.1.0.9031</vt:lpwstr>
  </property>
</Properties>
</file>